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东城区重点项目情况汇报</w:t>
      </w:r>
    </w:p>
    <w:p>
      <w:pPr>
        <w:jc w:val="center"/>
        <w:rPr>
          <w:rFonts w:hint="eastAsia" w:ascii="黑体" w:hAnsi="黑体" w:eastAsia="黑体" w:cs="黑体"/>
          <w:sz w:val="48"/>
          <w:szCs w:val="48"/>
          <w:lang w:eastAsia="zh-CN"/>
        </w:rPr>
      </w:pPr>
    </w:p>
    <w:p>
      <w:pPr>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截至目前，东城区23个市重点项目总投资198.65亿元，年度计划投资9</w:t>
      </w:r>
      <w:bookmarkStart w:id="0" w:name="_GoBack"/>
      <w:bookmarkEnd w:id="0"/>
      <w:r>
        <w:rPr>
          <w:rFonts w:hint="eastAsia" w:ascii="仿宋" w:hAnsi="仿宋" w:eastAsia="仿宋" w:cs="仿宋"/>
          <w:sz w:val="30"/>
          <w:szCs w:val="30"/>
          <w:lang w:eastAsia="zh-CN"/>
        </w:rPr>
        <w:t>2.6亿元，目前累计完成投资111.12亿元，占年度投资目标（92.6亿元）的120%。其中列入省重点项目的4个项目，总投资40亿元，目前累计完成投资28.53亿元，占年度投资目标（21.5亿元）的133%，总体进展顺利。一是续建项目推进迅速。许昌东城区数字化经济综合体项目、许昌市东城区胖东来实业有限公司智能化综合生产基地项目、许昌市东城区人民医院项目正在紧张推进形象进度，加快施工建设。二是新建项目应开尽开。东城区新开工项目13个，其中：东城区天天向上集团中央厨房生产加工项目、东城区河南省通信工程局有限责任公司建工乐云计算项目已达效投用；奥特莱斯商业开发项目、东城区腾飞鹿鸣城商业开发项目做好协调事项，实现开工建设；其余9个计划开工项目均已开工建设并正常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MTU2NWIxNGNlYzViMTMzZDYwNWY2Yzg0NWI0NjEifQ=="/>
  </w:docVars>
  <w:rsids>
    <w:rsidRoot w:val="00000000"/>
    <w:rsid w:val="34836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曹阳</cp:lastModifiedBy>
  <dcterms:modified xsi:type="dcterms:W3CDTF">2022-10-25T09:31:30Z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E48D482386334905B96724DB1E066B8E</vt:lpwstr>
  </property>
</Properties>
</file>